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397"/>
        </w:trPr>
        <w:tc>
          <w:tcPr>
            <w:tcW w:type="dxa" w:w="624"/>
            <w:vMerge w:val="restart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결</w:t>
              <w:br/>
              <w:t>재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담당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팀장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부서장</w:t>
            </w:r>
          </w:p>
        </w:tc>
      </w:tr>
      <w:tr>
        <w:trPr>
          <w:trHeight w:val="850"/>
        </w:trPr>
        <w:tc>
          <w:tcPr>
            <w:tcW w:type="dxa" w:w="2409"/>
            <w:vMerge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</w:tr>
    </w:tbl>
    <w:p>
      <w:pPr>
        <w:spacing w:after="40" w:before="0"/>
      </w:pPr>
    </w:p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휴 가 신 청 서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신청자 정보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부서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직위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성명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연락처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휴가 종류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3"/>
        </w:rPr>
        <w:t>□ 연차   □ 반차(오전)   □ 반차(오후)   □ 병가   □ 경조사   □ 기타 ( [ ] )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휴가 기간 및 일수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기간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]. [ ]. [ ]. ~ 20[ ]. [ ]. [ ].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일수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]일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5. 업무 대행자 및 비상 연락처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업무 대행자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비상 연락처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200" w:before="0"/>
      </w:pPr>
    </w:p>
    <w:p>
      <w:pPr>
        <w:spacing w:after="320" w:before="0"/>
      </w:pPr>
      <w:r>
        <w:rPr>
          <w:rFonts w:ascii="맑은 고딕" w:hAnsi="맑은 고딕" w:eastAsia="맑은 고딕"/>
          <w:b w:val="0"/>
          <w:i w:val="0"/>
          <w:sz w:val="22"/>
        </w:rPr>
        <w:t>위와 같이 휴가를 신청하오니 승인하여 주시기 바랍니다.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작성일: 20[ ]년 [ ]월 [ ]일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신청인: [ ]   (서명 또는 인)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[휴가신청서]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연차는 최소 며칠 전 신청해야 하는지 회사 규정(통상 3~7일 전)을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반차는 오전/오후 구분과 복귀 시각을 명확히 적어야 대행자가 업무를 조율하기 쉽습니다.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업무 대행자에게는 신청 전에 미리 구두로 양해를 구해두는 것이 좋습니다.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경조사 휴가는 증빙 서류(청첩장, 부고 등) 제출이 필요한 경우가 많습니다.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결재가 완료되기 전까지는 확정된 휴가로 간주하지 마세요.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휴가신청서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